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2"/>
        <w:tblW w:w="0" w:type="auto"/>
        <w:jc w:val="center"/>
        <w:tblLayout w:type="fixed"/>
        <w:tblCellMar>
          <w:top w:w="0" w:type="dxa"/>
          <w:left w:w="108" w:type="dxa"/>
          <w:bottom w:w="0" w:type="dxa"/>
          <w:right w:w="108" w:type="dxa"/>
        </w:tblCellMar>
      </w:tblPr>
      <w:tblGrid>
        <w:gridCol w:w="4320"/>
        <w:gridCol w:w="5760"/>
      </w:tblGrid>
      <w:tr w14:paraId="4C01B3C5">
        <w:tblPrEx>
          <w:tblCellMar>
            <w:top w:w="0" w:type="dxa"/>
            <w:left w:w="108" w:type="dxa"/>
            <w:bottom w:w="0" w:type="dxa"/>
            <w:right w:w="108" w:type="dxa"/>
          </w:tblCellMar>
        </w:tblPrEx>
        <w:trPr>
          <w:jc w:val="center"/>
        </w:trPr>
        <w:tc>
          <w:tcPr>
            <w:tcW w:w="5328" w:type="dxa"/>
            <w:shd w:val="clear" w:color="auto" w:fill="FFF2CC"/>
            <w:vAlign w:val="center"/>
          </w:tcPr>
          <w:p w14:paraId="3FE89AEB">
            <w:pPr>
              <w:jc w:val="center"/>
            </w:pPr>
            <w:r>
              <w:drawing>
                <wp:inline distT="0" distB="0" distL="114300" distR="114300">
                  <wp:extent cx="2560320" cy="2560320"/>
                  <wp:effectExtent l="0" t="0" r="11430"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stretch>
                            <a:fillRect/>
                          </a:stretch>
                        </pic:blipFill>
                        <pic:spPr>
                          <a:xfrm>
                            <a:off x="0" y="0"/>
                            <a:ext cx="2560320" cy="2560320"/>
                          </a:xfrm>
                          <a:prstGeom prst="rect">
                            <a:avLst/>
                          </a:prstGeom>
                        </pic:spPr>
                      </pic:pic>
                    </a:graphicData>
                  </a:graphic>
                </wp:inline>
              </w:drawing>
            </w:r>
          </w:p>
        </w:tc>
        <w:tc>
          <w:tcPr>
            <w:tcW w:w="5328" w:type="dxa"/>
            <w:shd w:val="clear" w:color="auto" w:fill="FFF2CC"/>
            <w:vAlign w:val="center"/>
          </w:tcPr>
          <w:p w14:paraId="3B20D68A">
            <w:pPr>
              <w:jc w:val="left"/>
            </w:pPr>
            <w:r>
              <w:rPr>
                <w:rFonts w:ascii="Arial" w:hAnsi="Arial"/>
                <w:b/>
                <w:color w:val="C47D00"/>
                <w:sz w:val="44"/>
              </w:rPr>
              <w:t>Custom Inflatable Medical Tent</w:t>
            </w:r>
          </w:p>
          <w:p w14:paraId="3A70EB64">
            <w:r>
              <w:rPr>
                <w:rFonts w:ascii="Arial" w:hAnsi="Arial"/>
                <w:color w:val="505050"/>
                <w:sz w:val="21"/>
              </w:rPr>
              <w:t>Rapid Deployment | Emergency Medical Support | Field Hospital | Temporary Treatment Area</w:t>
            </w:r>
          </w:p>
          <w:p w14:paraId="7A70C07C">
            <w:r>
              <w:rPr>
                <w:rFonts w:ascii="Arial" w:hAnsi="Arial"/>
                <w:sz w:val="19"/>
              </w:rPr>
              <w:t>A professional inflatable medical shelter designed for emergency rescue, temporary healthcare stations, triage zones, disaster relief, first-aid command centers, quarantine support and outdoor medical operations.</w:t>
            </w:r>
          </w:p>
        </w:tc>
      </w:tr>
    </w:tbl>
    <w:p w14:paraId="6A656491">
      <w:pPr>
        <w:pStyle w:val="4"/>
        <w:spacing w:before="160" w:after="80"/>
      </w:pPr>
      <w:r>
        <w:rPr>
          <w:b/>
        </w:rPr>
        <w:t>1. Product Overview</w:t>
      </w:r>
    </w:p>
    <w:p w14:paraId="28A816C2">
      <w:r>
        <w:t>This inflatable medical tent uses a strong air-beam structure with a durable yellow outer cover, grey internal inflatable frame, transparent mesh windows, roll-up ventilation covers and reinforced entrance doors. The design supports fast setup, convenient transportation, reliable weather protection and flexible customization for different medical and emergency scenarios.</w:t>
      </w:r>
    </w:p>
    <w:tbl>
      <w:tblPr>
        <w:tblStyle w:val="32"/>
        <w:tblW w:w="0" w:type="auto"/>
        <w:jc w:val="center"/>
        <w:tblLayout w:type="autofit"/>
        <w:tblCellMar>
          <w:top w:w="0" w:type="dxa"/>
          <w:left w:w="108" w:type="dxa"/>
          <w:bottom w:w="0" w:type="dxa"/>
          <w:right w:w="108" w:type="dxa"/>
        </w:tblCellMar>
      </w:tblPr>
      <w:tblGrid>
        <w:gridCol w:w="5328"/>
        <w:gridCol w:w="5328"/>
      </w:tblGrid>
      <w:tr w14:paraId="0A5E18A0">
        <w:tblPrEx>
          <w:tblCellMar>
            <w:top w:w="0" w:type="dxa"/>
            <w:left w:w="108" w:type="dxa"/>
            <w:bottom w:w="0" w:type="dxa"/>
            <w:right w:w="108" w:type="dxa"/>
          </w:tblCellMar>
        </w:tblPrEx>
        <w:trPr>
          <w:jc w:val="center"/>
        </w:trPr>
        <w:tc>
          <w:tcPr>
            <w:tcW w:w="5328" w:type="dxa"/>
            <w:shd w:val="clear" w:color="auto" w:fill="C47A00"/>
            <w:vAlign w:val="center"/>
          </w:tcPr>
          <w:p w14:paraId="525B8F43">
            <w:pPr>
              <w:jc w:val="left"/>
            </w:pPr>
            <w:r>
              <w:rPr>
                <w:rFonts w:ascii="Arial" w:hAnsi="Arial"/>
                <w:b/>
                <w:color w:val="FFFFFF"/>
                <w:sz w:val="19"/>
              </w:rPr>
              <w:t>Item</w:t>
            </w:r>
          </w:p>
        </w:tc>
        <w:tc>
          <w:tcPr>
            <w:tcW w:w="5328" w:type="dxa"/>
            <w:shd w:val="clear" w:color="auto" w:fill="C47A00"/>
            <w:vAlign w:val="center"/>
          </w:tcPr>
          <w:p w14:paraId="6079941A">
            <w:pPr>
              <w:jc w:val="left"/>
            </w:pPr>
            <w:r>
              <w:rPr>
                <w:rFonts w:ascii="Arial" w:hAnsi="Arial"/>
                <w:b/>
                <w:color w:val="FFFFFF"/>
                <w:sz w:val="19"/>
              </w:rPr>
              <w:t>Description</w:t>
            </w:r>
          </w:p>
        </w:tc>
      </w:tr>
      <w:tr w14:paraId="61393D76">
        <w:tblPrEx>
          <w:tblCellMar>
            <w:top w:w="0" w:type="dxa"/>
            <w:left w:w="108" w:type="dxa"/>
            <w:bottom w:w="0" w:type="dxa"/>
            <w:right w:w="108" w:type="dxa"/>
          </w:tblCellMar>
        </w:tblPrEx>
        <w:trPr>
          <w:jc w:val="center"/>
        </w:trPr>
        <w:tc>
          <w:tcPr>
            <w:tcW w:w="5328" w:type="dxa"/>
            <w:vAlign w:val="center"/>
          </w:tcPr>
          <w:p w14:paraId="71C57254">
            <w:pPr>
              <w:jc w:val="left"/>
            </w:pPr>
            <w:r>
              <w:rPr>
                <w:rFonts w:ascii="Arial" w:hAnsi="Arial"/>
                <w:b/>
                <w:sz w:val="19"/>
              </w:rPr>
              <w:t>Product Name</w:t>
            </w:r>
          </w:p>
        </w:tc>
        <w:tc>
          <w:tcPr>
            <w:tcW w:w="5328" w:type="dxa"/>
            <w:vAlign w:val="center"/>
          </w:tcPr>
          <w:p w14:paraId="048EDD54">
            <w:pPr>
              <w:jc w:val="left"/>
            </w:pPr>
            <w:r>
              <w:rPr>
                <w:rFonts w:hint="eastAsia" w:eastAsia="宋体"/>
                <w:b w:val="0"/>
                <w:sz w:val="19"/>
                <w:lang w:val="en-US" w:eastAsia="zh-CN"/>
              </w:rPr>
              <w:t xml:space="preserve">6x4x3m </w:t>
            </w:r>
            <w:r>
              <w:rPr>
                <w:rFonts w:ascii="Arial" w:hAnsi="Arial"/>
                <w:b w:val="0"/>
                <w:sz w:val="19"/>
              </w:rPr>
              <w:t>Inflatable Medical Tent / Emergency Medical Tent / Field Hospital Tent</w:t>
            </w:r>
          </w:p>
        </w:tc>
      </w:tr>
      <w:tr w14:paraId="25174769">
        <w:tblPrEx>
          <w:tblCellMar>
            <w:top w:w="0" w:type="dxa"/>
            <w:left w:w="108" w:type="dxa"/>
            <w:bottom w:w="0" w:type="dxa"/>
            <w:right w:w="108" w:type="dxa"/>
          </w:tblCellMar>
        </w:tblPrEx>
        <w:trPr>
          <w:jc w:val="center"/>
        </w:trPr>
        <w:tc>
          <w:tcPr>
            <w:tcW w:w="5328" w:type="dxa"/>
            <w:vAlign w:val="center"/>
          </w:tcPr>
          <w:p w14:paraId="0723DE2B">
            <w:pPr>
              <w:jc w:val="left"/>
            </w:pPr>
            <w:r>
              <w:rPr>
                <w:rFonts w:ascii="Arial" w:hAnsi="Arial"/>
                <w:b/>
                <w:sz w:val="19"/>
              </w:rPr>
              <w:t>Structure</w:t>
            </w:r>
          </w:p>
        </w:tc>
        <w:tc>
          <w:tcPr>
            <w:tcW w:w="5328" w:type="dxa"/>
            <w:vAlign w:val="center"/>
          </w:tcPr>
          <w:p w14:paraId="4E6BC189">
            <w:pPr>
              <w:jc w:val="left"/>
            </w:pPr>
            <w:r>
              <w:rPr>
                <w:rFonts w:ascii="Arial" w:hAnsi="Arial"/>
                <w:b w:val="0"/>
                <w:sz w:val="19"/>
              </w:rPr>
              <w:t>Inflatable air-beam frame with protective outer tarpaulin cover</w:t>
            </w:r>
          </w:p>
        </w:tc>
      </w:tr>
      <w:tr w14:paraId="58085266">
        <w:tblPrEx>
          <w:tblCellMar>
            <w:top w:w="0" w:type="dxa"/>
            <w:left w:w="108" w:type="dxa"/>
            <w:bottom w:w="0" w:type="dxa"/>
            <w:right w:w="108" w:type="dxa"/>
          </w:tblCellMar>
        </w:tblPrEx>
        <w:trPr>
          <w:jc w:val="center"/>
        </w:trPr>
        <w:tc>
          <w:tcPr>
            <w:tcW w:w="5328" w:type="dxa"/>
            <w:vAlign w:val="center"/>
          </w:tcPr>
          <w:p w14:paraId="7A48EB08">
            <w:pPr>
              <w:jc w:val="left"/>
            </w:pPr>
            <w:r>
              <w:rPr>
                <w:rFonts w:ascii="Arial" w:hAnsi="Arial"/>
                <w:b/>
                <w:sz w:val="19"/>
              </w:rPr>
              <w:t>Color</w:t>
            </w:r>
          </w:p>
        </w:tc>
        <w:tc>
          <w:tcPr>
            <w:tcW w:w="5328" w:type="dxa"/>
            <w:vAlign w:val="center"/>
          </w:tcPr>
          <w:p w14:paraId="3ACFA213">
            <w:pPr>
              <w:jc w:val="left"/>
            </w:pPr>
            <w:r>
              <w:rPr>
                <w:rFonts w:ascii="Arial" w:hAnsi="Arial"/>
                <w:b w:val="0"/>
                <w:sz w:val="19"/>
              </w:rPr>
              <w:t>Yellow sample shown; custom colors available</w:t>
            </w:r>
          </w:p>
        </w:tc>
      </w:tr>
      <w:tr w14:paraId="17DE7A00">
        <w:tblPrEx>
          <w:tblCellMar>
            <w:top w:w="0" w:type="dxa"/>
            <w:left w:w="108" w:type="dxa"/>
            <w:bottom w:w="0" w:type="dxa"/>
            <w:right w:w="108" w:type="dxa"/>
          </w:tblCellMar>
        </w:tblPrEx>
        <w:trPr>
          <w:jc w:val="center"/>
        </w:trPr>
        <w:tc>
          <w:tcPr>
            <w:tcW w:w="5328" w:type="dxa"/>
            <w:vAlign w:val="center"/>
          </w:tcPr>
          <w:p w14:paraId="6FBAF271">
            <w:pPr>
              <w:jc w:val="left"/>
            </w:pPr>
            <w:r>
              <w:rPr>
                <w:rFonts w:ascii="Arial" w:hAnsi="Arial"/>
                <w:b/>
                <w:sz w:val="19"/>
              </w:rPr>
              <w:t>Material Options</w:t>
            </w:r>
          </w:p>
        </w:tc>
        <w:tc>
          <w:tcPr>
            <w:tcW w:w="5328" w:type="dxa"/>
            <w:vAlign w:val="center"/>
          </w:tcPr>
          <w:p w14:paraId="3CA87799">
            <w:pPr>
              <w:jc w:val="left"/>
            </w:pPr>
            <w:r>
              <w:rPr>
                <w:rFonts w:ascii="Arial" w:hAnsi="Arial"/>
                <w:b w:val="0"/>
                <w:sz w:val="19"/>
              </w:rPr>
              <w:t>High-strength PVC tarpaulin, TPU or customized commercial-grade inflatable fabric</w:t>
            </w:r>
          </w:p>
        </w:tc>
      </w:tr>
      <w:tr w14:paraId="1EF4F7DC">
        <w:tblPrEx>
          <w:tblCellMar>
            <w:top w:w="0" w:type="dxa"/>
            <w:left w:w="108" w:type="dxa"/>
            <w:bottom w:w="0" w:type="dxa"/>
            <w:right w:w="108" w:type="dxa"/>
          </w:tblCellMar>
        </w:tblPrEx>
        <w:trPr>
          <w:jc w:val="center"/>
        </w:trPr>
        <w:tc>
          <w:tcPr>
            <w:tcW w:w="5328" w:type="dxa"/>
            <w:vAlign w:val="center"/>
          </w:tcPr>
          <w:p w14:paraId="45A1BD25">
            <w:pPr>
              <w:jc w:val="left"/>
            </w:pPr>
            <w:r>
              <w:rPr>
                <w:rFonts w:ascii="Arial" w:hAnsi="Arial"/>
                <w:b/>
                <w:sz w:val="19"/>
              </w:rPr>
              <w:t>Windows</w:t>
            </w:r>
          </w:p>
        </w:tc>
        <w:tc>
          <w:tcPr>
            <w:tcW w:w="5328" w:type="dxa"/>
            <w:vAlign w:val="center"/>
          </w:tcPr>
          <w:p w14:paraId="575230A3">
            <w:pPr>
              <w:jc w:val="left"/>
            </w:pPr>
            <w:r>
              <w:rPr>
                <w:rFonts w:ascii="Arial" w:hAnsi="Arial"/>
                <w:b w:val="0"/>
                <w:sz w:val="19"/>
              </w:rPr>
              <w:t>Transparent mesh windows with roll-up covers for ventilation and daylight</w:t>
            </w:r>
          </w:p>
        </w:tc>
      </w:tr>
      <w:tr w14:paraId="107E0634">
        <w:tblPrEx>
          <w:tblCellMar>
            <w:top w:w="0" w:type="dxa"/>
            <w:left w:w="108" w:type="dxa"/>
            <w:bottom w:w="0" w:type="dxa"/>
            <w:right w:w="108" w:type="dxa"/>
          </w:tblCellMar>
        </w:tblPrEx>
        <w:trPr>
          <w:jc w:val="center"/>
        </w:trPr>
        <w:tc>
          <w:tcPr>
            <w:tcW w:w="5328" w:type="dxa"/>
            <w:vAlign w:val="center"/>
          </w:tcPr>
          <w:p w14:paraId="75F64702">
            <w:pPr>
              <w:jc w:val="left"/>
            </w:pPr>
            <w:r>
              <w:rPr>
                <w:rFonts w:ascii="Arial" w:hAnsi="Arial"/>
                <w:b/>
                <w:sz w:val="19"/>
              </w:rPr>
              <w:t>Doors</w:t>
            </w:r>
          </w:p>
        </w:tc>
        <w:tc>
          <w:tcPr>
            <w:tcW w:w="5328" w:type="dxa"/>
            <w:vAlign w:val="center"/>
          </w:tcPr>
          <w:p w14:paraId="54C26BBB">
            <w:pPr>
              <w:jc w:val="left"/>
            </w:pPr>
            <w:r>
              <w:rPr>
                <w:rFonts w:ascii="Arial" w:hAnsi="Arial"/>
                <w:b w:val="0"/>
                <w:sz w:val="19"/>
              </w:rPr>
              <w:t>Reinforced entrance with zipper, hook-and-loop fastener, button and cover flap options</w:t>
            </w:r>
          </w:p>
        </w:tc>
      </w:tr>
      <w:tr w14:paraId="1163E2BA">
        <w:tblPrEx>
          <w:tblCellMar>
            <w:top w:w="0" w:type="dxa"/>
            <w:left w:w="108" w:type="dxa"/>
            <w:bottom w:w="0" w:type="dxa"/>
            <w:right w:w="108" w:type="dxa"/>
          </w:tblCellMar>
        </w:tblPrEx>
        <w:trPr>
          <w:jc w:val="center"/>
        </w:trPr>
        <w:tc>
          <w:tcPr>
            <w:tcW w:w="5328" w:type="dxa"/>
            <w:vAlign w:val="center"/>
          </w:tcPr>
          <w:p w14:paraId="253E4BF5">
            <w:pPr>
              <w:jc w:val="left"/>
            </w:pPr>
            <w:r>
              <w:rPr>
                <w:rFonts w:ascii="Arial" w:hAnsi="Arial"/>
                <w:b/>
                <w:sz w:val="19"/>
              </w:rPr>
              <w:t>Accessories</w:t>
            </w:r>
          </w:p>
        </w:tc>
        <w:tc>
          <w:tcPr>
            <w:tcW w:w="5328" w:type="dxa"/>
            <w:vAlign w:val="center"/>
          </w:tcPr>
          <w:p w14:paraId="6D282D12">
            <w:pPr>
              <w:jc w:val="left"/>
            </w:pPr>
            <w:r>
              <w:rPr>
                <w:rFonts w:ascii="Arial" w:hAnsi="Arial"/>
                <w:b w:val="0"/>
                <w:sz w:val="19"/>
              </w:rPr>
              <w:t>Air blower, repair kit, storage bag, anchoring ropes, ground pegs and optional lighting/partition systems</w:t>
            </w:r>
          </w:p>
        </w:tc>
      </w:tr>
      <w:tr w14:paraId="5499B678">
        <w:tblPrEx>
          <w:tblCellMar>
            <w:top w:w="0" w:type="dxa"/>
            <w:left w:w="108" w:type="dxa"/>
            <w:bottom w:w="0" w:type="dxa"/>
            <w:right w:w="108" w:type="dxa"/>
          </w:tblCellMar>
        </w:tblPrEx>
        <w:trPr>
          <w:jc w:val="center"/>
        </w:trPr>
        <w:tc>
          <w:tcPr>
            <w:tcW w:w="5328" w:type="dxa"/>
            <w:vAlign w:val="center"/>
          </w:tcPr>
          <w:p w14:paraId="506C5BF0">
            <w:pPr>
              <w:jc w:val="left"/>
            </w:pPr>
            <w:r>
              <w:rPr>
                <w:rFonts w:ascii="Arial" w:hAnsi="Arial"/>
                <w:b/>
                <w:sz w:val="19"/>
              </w:rPr>
              <w:t>Customization</w:t>
            </w:r>
          </w:p>
        </w:tc>
        <w:tc>
          <w:tcPr>
            <w:tcW w:w="5328" w:type="dxa"/>
            <w:vAlign w:val="center"/>
          </w:tcPr>
          <w:p w14:paraId="4C6464DC">
            <w:pPr>
              <w:jc w:val="left"/>
            </w:pPr>
            <w:r>
              <w:rPr>
                <w:rFonts w:ascii="Arial" w:hAnsi="Arial"/>
                <w:b w:val="0"/>
                <w:sz w:val="19"/>
              </w:rPr>
              <w:t>Size, color, logo printing, window layout, door quantity, inner partitions and func</w:t>
            </w:r>
            <w:bookmarkStart w:id="0" w:name="_GoBack"/>
            <w:bookmarkEnd w:id="0"/>
            <w:r>
              <w:rPr>
                <w:rFonts w:ascii="Arial" w:hAnsi="Arial"/>
                <w:b w:val="0"/>
                <w:sz w:val="19"/>
              </w:rPr>
              <w:t>tional zones can be customized</w:t>
            </w:r>
          </w:p>
        </w:tc>
      </w:tr>
    </w:tbl>
    <w:p w14:paraId="7D97074E">
      <w:pPr>
        <w:pStyle w:val="4"/>
        <w:spacing w:before="160" w:after="80"/>
      </w:pPr>
      <w:r>
        <w:rPr>
          <w:b/>
        </w:rPr>
        <w:t>2. Product Photo Gallery</w:t>
      </w:r>
    </w:p>
    <w:tbl>
      <w:tblPr>
        <w:tblStyle w:val="32"/>
        <w:tblW w:w="0" w:type="auto"/>
        <w:jc w:val="center"/>
        <w:tblLayout w:type="autofit"/>
        <w:tblCellMar>
          <w:top w:w="0" w:type="dxa"/>
          <w:left w:w="108" w:type="dxa"/>
          <w:bottom w:w="0" w:type="dxa"/>
          <w:right w:w="108" w:type="dxa"/>
        </w:tblCellMar>
      </w:tblPr>
      <w:tblGrid>
        <w:gridCol w:w="5328"/>
        <w:gridCol w:w="5328"/>
      </w:tblGrid>
      <w:tr w14:paraId="308A568D">
        <w:tblPrEx>
          <w:tblCellMar>
            <w:top w:w="0" w:type="dxa"/>
            <w:left w:w="108" w:type="dxa"/>
            <w:bottom w:w="0" w:type="dxa"/>
            <w:right w:w="108" w:type="dxa"/>
          </w:tblCellMar>
        </w:tblPrEx>
        <w:trPr>
          <w:jc w:val="center"/>
        </w:trPr>
        <w:tc>
          <w:tcPr>
            <w:tcW w:w="5328" w:type="dxa"/>
            <w:vAlign w:val="center"/>
          </w:tcPr>
          <w:p w14:paraId="1230E49A">
            <w:pPr>
              <w:jc w:val="center"/>
            </w:pPr>
            <w:r>
              <w:drawing>
                <wp:inline distT="0" distB="0" distL="114300" distR="114300">
                  <wp:extent cx="2834640" cy="2834640"/>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8"/>
                          <a:stretch>
                            <a:fillRect/>
                          </a:stretch>
                        </pic:blipFill>
                        <pic:spPr>
                          <a:xfrm>
                            <a:off x="0" y="0"/>
                            <a:ext cx="2834640" cy="2834640"/>
                          </a:xfrm>
                          <a:prstGeom prst="rect">
                            <a:avLst/>
                          </a:prstGeom>
                        </pic:spPr>
                      </pic:pic>
                    </a:graphicData>
                  </a:graphic>
                </wp:inline>
              </w:drawing>
            </w:r>
          </w:p>
          <w:p w14:paraId="51AC7C99">
            <w:pPr>
              <w:jc w:val="center"/>
            </w:pPr>
            <w:r>
              <w:rPr>
                <w:color w:val="646464"/>
                <w:sz w:val="16"/>
              </w:rPr>
              <w:t>01 Main View</w:t>
            </w:r>
          </w:p>
        </w:tc>
        <w:tc>
          <w:tcPr>
            <w:tcW w:w="5328" w:type="dxa"/>
            <w:vAlign w:val="center"/>
          </w:tcPr>
          <w:p w14:paraId="4ED889D0">
            <w:pPr>
              <w:jc w:val="center"/>
            </w:pPr>
            <w:r>
              <w:drawing>
                <wp:inline distT="0" distB="0" distL="114300" distR="114300">
                  <wp:extent cx="2834640" cy="2834640"/>
                  <wp:effectExtent l="0" t="0" r="381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stretch>
                            <a:fillRect/>
                          </a:stretch>
                        </pic:blipFill>
                        <pic:spPr>
                          <a:xfrm>
                            <a:off x="0" y="0"/>
                            <a:ext cx="2834640" cy="2834640"/>
                          </a:xfrm>
                          <a:prstGeom prst="rect">
                            <a:avLst/>
                          </a:prstGeom>
                        </pic:spPr>
                      </pic:pic>
                    </a:graphicData>
                  </a:graphic>
                </wp:inline>
              </w:drawing>
            </w:r>
          </w:p>
          <w:p w14:paraId="5AF5C006">
            <w:pPr>
              <w:jc w:val="center"/>
            </w:pPr>
            <w:r>
              <w:rPr>
                <w:color w:val="646464"/>
                <w:sz w:val="16"/>
              </w:rPr>
              <w:t>02 Side Windows</w:t>
            </w:r>
          </w:p>
        </w:tc>
      </w:tr>
    </w:tbl>
    <w:p w14:paraId="103137D0">
      <w:pPr>
        <w:spacing w:after="20"/>
      </w:pPr>
    </w:p>
    <w:tbl>
      <w:tblPr>
        <w:tblStyle w:val="32"/>
        <w:tblW w:w="0" w:type="auto"/>
        <w:jc w:val="center"/>
        <w:tblLayout w:type="autofit"/>
        <w:tblCellMar>
          <w:top w:w="0" w:type="dxa"/>
          <w:left w:w="108" w:type="dxa"/>
          <w:bottom w:w="0" w:type="dxa"/>
          <w:right w:w="108" w:type="dxa"/>
        </w:tblCellMar>
      </w:tblPr>
      <w:tblGrid>
        <w:gridCol w:w="5328"/>
        <w:gridCol w:w="5328"/>
      </w:tblGrid>
      <w:tr w14:paraId="11E56188">
        <w:tblPrEx>
          <w:tblCellMar>
            <w:top w:w="0" w:type="dxa"/>
            <w:left w:w="108" w:type="dxa"/>
            <w:bottom w:w="0" w:type="dxa"/>
            <w:right w:w="108" w:type="dxa"/>
          </w:tblCellMar>
        </w:tblPrEx>
        <w:trPr>
          <w:jc w:val="center"/>
        </w:trPr>
        <w:tc>
          <w:tcPr>
            <w:tcW w:w="5328" w:type="dxa"/>
            <w:vAlign w:val="center"/>
          </w:tcPr>
          <w:p w14:paraId="7748FE80">
            <w:pPr>
              <w:jc w:val="center"/>
            </w:pPr>
            <w:r>
              <w:drawing>
                <wp:inline distT="0" distB="0" distL="114300" distR="114300">
                  <wp:extent cx="2834640" cy="2834640"/>
                  <wp:effectExtent l="0" t="0" r="381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0"/>
                          <a:stretch>
                            <a:fillRect/>
                          </a:stretch>
                        </pic:blipFill>
                        <pic:spPr>
                          <a:xfrm>
                            <a:off x="0" y="0"/>
                            <a:ext cx="2834640" cy="2834640"/>
                          </a:xfrm>
                          <a:prstGeom prst="rect">
                            <a:avLst/>
                          </a:prstGeom>
                        </pic:spPr>
                      </pic:pic>
                    </a:graphicData>
                  </a:graphic>
                </wp:inline>
              </w:drawing>
            </w:r>
          </w:p>
          <w:p w14:paraId="028F3F56">
            <w:pPr>
              <w:jc w:val="center"/>
            </w:pPr>
            <w:r>
              <w:rPr>
                <w:color w:val="646464"/>
                <w:sz w:val="16"/>
              </w:rPr>
              <w:t>03 Side Door View</w:t>
            </w:r>
          </w:p>
        </w:tc>
        <w:tc>
          <w:tcPr>
            <w:tcW w:w="5328" w:type="dxa"/>
            <w:vAlign w:val="center"/>
          </w:tcPr>
          <w:p w14:paraId="6A9E3015">
            <w:pPr>
              <w:jc w:val="center"/>
            </w:pPr>
            <w:r>
              <w:drawing>
                <wp:inline distT="0" distB="0" distL="114300" distR="114300">
                  <wp:extent cx="2834640" cy="2834640"/>
                  <wp:effectExtent l="0" t="0" r="381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1"/>
                          <a:stretch>
                            <a:fillRect/>
                          </a:stretch>
                        </pic:blipFill>
                        <pic:spPr>
                          <a:xfrm>
                            <a:off x="0" y="0"/>
                            <a:ext cx="2834640" cy="2834640"/>
                          </a:xfrm>
                          <a:prstGeom prst="rect">
                            <a:avLst/>
                          </a:prstGeom>
                        </pic:spPr>
                      </pic:pic>
                    </a:graphicData>
                  </a:graphic>
                </wp:inline>
              </w:drawing>
            </w:r>
          </w:p>
          <w:p w14:paraId="473639F8">
            <w:pPr>
              <w:jc w:val="center"/>
            </w:pPr>
            <w:r>
              <w:rPr>
                <w:color w:val="646464"/>
                <w:sz w:val="16"/>
              </w:rPr>
              <w:t>04 Window Cover Detail</w:t>
            </w:r>
          </w:p>
        </w:tc>
      </w:tr>
    </w:tbl>
    <w:p w14:paraId="7B812AFE">
      <w:pPr>
        <w:spacing w:after="20"/>
      </w:pPr>
    </w:p>
    <w:tbl>
      <w:tblPr>
        <w:tblStyle w:val="32"/>
        <w:tblW w:w="0" w:type="auto"/>
        <w:jc w:val="center"/>
        <w:tblLayout w:type="autofit"/>
        <w:tblCellMar>
          <w:top w:w="0" w:type="dxa"/>
          <w:left w:w="108" w:type="dxa"/>
          <w:bottom w:w="0" w:type="dxa"/>
          <w:right w:w="108" w:type="dxa"/>
        </w:tblCellMar>
      </w:tblPr>
      <w:tblGrid>
        <w:gridCol w:w="5328"/>
        <w:gridCol w:w="5328"/>
      </w:tblGrid>
      <w:tr w14:paraId="2A215A51">
        <w:tblPrEx>
          <w:tblCellMar>
            <w:top w:w="0" w:type="dxa"/>
            <w:left w:w="108" w:type="dxa"/>
            <w:bottom w:w="0" w:type="dxa"/>
            <w:right w:w="108" w:type="dxa"/>
          </w:tblCellMar>
        </w:tblPrEx>
        <w:trPr>
          <w:jc w:val="center"/>
        </w:trPr>
        <w:tc>
          <w:tcPr>
            <w:tcW w:w="5328" w:type="dxa"/>
            <w:vAlign w:val="center"/>
          </w:tcPr>
          <w:p w14:paraId="31891238">
            <w:pPr>
              <w:jc w:val="center"/>
            </w:pPr>
            <w:r>
              <w:drawing>
                <wp:inline distT="0" distB="0" distL="114300" distR="114300">
                  <wp:extent cx="2834640" cy="2834640"/>
                  <wp:effectExtent l="0" t="0" r="381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12"/>
                          <a:stretch>
                            <a:fillRect/>
                          </a:stretch>
                        </pic:blipFill>
                        <pic:spPr>
                          <a:xfrm>
                            <a:off x="0" y="0"/>
                            <a:ext cx="2834640" cy="2834640"/>
                          </a:xfrm>
                          <a:prstGeom prst="rect">
                            <a:avLst/>
                          </a:prstGeom>
                        </pic:spPr>
                      </pic:pic>
                    </a:graphicData>
                  </a:graphic>
                </wp:inline>
              </w:drawing>
            </w:r>
          </w:p>
          <w:p w14:paraId="49418F33">
            <w:pPr>
              <w:jc w:val="center"/>
            </w:pPr>
            <w:r>
              <w:rPr>
                <w:color w:val="646464"/>
                <w:sz w:val="16"/>
              </w:rPr>
              <w:t>05 Roll Up Window Detail</w:t>
            </w:r>
          </w:p>
        </w:tc>
        <w:tc>
          <w:tcPr>
            <w:tcW w:w="5328" w:type="dxa"/>
            <w:vAlign w:val="center"/>
          </w:tcPr>
          <w:p w14:paraId="63E8CE29">
            <w:pPr>
              <w:jc w:val="center"/>
            </w:pPr>
            <w:r>
              <w:drawing>
                <wp:inline distT="0" distB="0" distL="114300" distR="114300">
                  <wp:extent cx="2834640" cy="2834640"/>
                  <wp:effectExtent l="0" t="0" r="381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3"/>
                          <a:stretch>
                            <a:fillRect/>
                          </a:stretch>
                        </pic:blipFill>
                        <pic:spPr>
                          <a:xfrm>
                            <a:off x="0" y="0"/>
                            <a:ext cx="2834640" cy="2834640"/>
                          </a:xfrm>
                          <a:prstGeom prst="rect">
                            <a:avLst/>
                          </a:prstGeom>
                        </pic:spPr>
                      </pic:pic>
                    </a:graphicData>
                  </a:graphic>
                </wp:inline>
              </w:drawing>
            </w:r>
          </w:p>
          <w:p w14:paraId="6F27FC31">
            <w:pPr>
              <w:jc w:val="center"/>
            </w:pPr>
            <w:r>
              <w:rPr>
                <w:color w:val="646464"/>
                <w:sz w:val="16"/>
              </w:rPr>
              <w:t>06 Mesh Window Detail</w:t>
            </w:r>
          </w:p>
        </w:tc>
      </w:tr>
    </w:tbl>
    <w:p w14:paraId="541B4914">
      <w:pPr>
        <w:spacing w:after="20"/>
      </w:pPr>
    </w:p>
    <w:tbl>
      <w:tblPr>
        <w:tblStyle w:val="32"/>
        <w:tblW w:w="0" w:type="auto"/>
        <w:jc w:val="center"/>
        <w:tblLayout w:type="autofit"/>
        <w:tblCellMar>
          <w:top w:w="0" w:type="dxa"/>
          <w:left w:w="108" w:type="dxa"/>
          <w:bottom w:w="0" w:type="dxa"/>
          <w:right w:w="108" w:type="dxa"/>
        </w:tblCellMar>
      </w:tblPr>
      <w:tblGrid>
        <w:gridCol w:w="5328"/>
        <w:gridCol w:w="5328"/>
      </w:tblGrid>
      <w:tr w14:paraId="6BEB76CB">
        <w:tblPrEx>
          <w:tblCellMar>
            <w:top w:w="0" w:type="dxa"/>
            <w:left w:w="108" w:type="dxa"/>
            <w:bottom w:w="0" w:type="dxa"/>
            <w:right w:w="108" w:type="dxa"/>
          </w:tblCellMar>
        </w:tblPrEx>
        <w:trPr>
          <w:jc w:val="center"/>
        </w:trPr>
        <w:tc>
          <w:tcPr>
            <w:tcW w:w="5328" w:type="dxa"/>
            <w:vAlign w:val="center"/>
          </w:tcPr>
          <w:p w14:paraId="471A9B0E">
            <w:pPr>
              <w:jc w:val="center"/>
            </w:pPr>
            <w:r>
              <w:drawing>
                <wp:inline distT="0" distB="0" distL="114300" distR="114300">
                  <wp:extent cx="2834640" cy="2834640"/>
                  <wp:effectExtent l="0" t="0" r="381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14"/>
                          <a:stretch>
                            <a:fillRect/>
                          </a:stretch>
                        </pic:blipFill>
                        <pic:spPr>
                          <a:xfrm>
                            <a:off x="0" y="0"/>
                            <a:ext cx="2834640" cy="2834640"/>
                          </a:xfrm>
                          <a:prstGeom prst="rect">
                            <a:avLst/>
                          </a:prstGeom>
                        </pic:spPr>
                      </pic:pic>
                    </a:graphicData>
                  </a:graphic>
                </wp:inline>
              </w:drawing>
            </w:r>
          </w:p>
          <w:p w14:paraId="4722A11B">
            <w:pPr>
              <w:jc w:val="center"/>
            </w:pPr>
            <w:r>
              <w:rPr>
                <w:color w:val="646464"/>
                <w:sz w:val="16"/>
              </w:rPr>
              <w:t>07 Entrance Door Detail</w:t>
            </w:r>
          </w:p>
        </w:tc>
        <w:tc>
          <w:tcPr>
            <w:tcW w:w="5328" w:type="dxa"/>
            <w:vAlign w:val="center"/>
          </w:tcPr>
          <w:p w14:paraId="078EF756">
            <w:pPr>
              <w:jc w:val="center"/>
            </w:pPr>
            <w:r>
              <w:drawing>
                <wp:inline distT="0" distB="0" distL="114300" distR="114300">
                  <wp:extent cx="2834640" cy="2834640"/>
                  <wp:effectExtent l="0" t="0" r="381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15"/>
                          <a:stretch>
                            <a:fillRect/>
                          </a:stretch>
                        </pic:blipFill>
                        <pic:spPr>
                          <a:xfrm>
                            <a:off x="0" y="0"/>
                            <a:ext cx="2834640" cy="2834640"/>
                          </a:xfrm>
                          <a:prstGeom prst="rect">
                            <a:avLst/>
                          </a:prstGeom>
                        </pic:spPr>
                      </pic:pic>
                    </a:graphicData>
                  </a:graphic>
                </wp:inline>
              </w:drawing>
            </w:r>
          </w:p>
          <w:p w14:paraId="76711E1D">
            <w:pPr>
              <w:jc w:val="center"/>
            </w:pPr>
            <w:r>
              <w:rPr>
                <w:color w:val="646464"/>
                <w:sz w:val="16"/>
              </w:rPr>
              <w:t>08 Interior Frame</w:t>
            </w:r>
          </w:p>
        </w:tc>
      </w:tr>
    </w:tbl>
    <w:p w14:paraId="15115132">
      <w:pPr>
        <w:spacing w:after="20"/>
      </w:pPr>
    </w:p>
    <w:tbl>
      <w:tblPr>
        <w:tblStyle w:val="32"/>
        <w:tblW w:w="0" w:type="auto"/>
        <w:jc w:val="center"/>
        <w:tblLayout w:type="autofit"/>
        <w:tblCellMar>
          <w:top w:w="0" w:type="dxa"/>
          <w:left w:w="108" w:type="dxa"/>
          <w:bottom w:w="0" w:type="dxa"/>
          <w:right w:w="108" w:type="dxa"/>
        </w:tblCellMar>
      </w:tblPr>
      <w:tblGrid>
        <w:gridCol w:w="5328"/>
        <w:gridCol w:w="5328"/>
      </w:tblGrid>
      <w:tr w14:paraId="64F58FF6">
        <w:tblPrEx>
          <w:tblCellMar>
            <w:top w:w="0" w:type="dxa"/>
            <w:left w:w="108" w:type="dxa"/>
            <w:bottom w:w="0" w:type="dxa"/>
            <w:right w:w="108" w:type="dxa"/>
          </w:tblCellMar>
        </w:tblPrEx>
        <w:trPr>
          <w:jc w:val="center"/>
        </w:trPr>
        <w:tc>
          <w:tcPr>
            <w:tcW w:w="5328" w:type="dxa"/>
            <w:vAlign w:val="center"/>
          </w:tcPr>
          <w:p w14:paraId="74067261">
            <w:pPr>
              <w:jc w:val="center"/>
            </w:pPr>
            <w:r>
              <w:drawing>
                <wp:inline distT="0" distB="0" distL="114300" distR="114300">
                  <wp:extent cx="2834640" cy="2834640"/>
                  <wp:effectExtent l="0" t="0" r="381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a:blip r:embed="rId16"/>
                          <a:stretch>
                            <a:fillRect/>
                          </a:stretch>
                        </pic:blipFill>
                        <pic:spPr>
                          <a:xfrm>
                            <a:off x="0" y="0"/>
                            <a:ext cx="2834640" cy="2834640"/>
                          </a:xfrm>
                          <a:prstGeom prst="rect">
                            <a:avLst/>
                          </a:prstGeom>
                        </pic:spPr>
                      </pic:pic>
                    </a:graphicData>
                  </a:graphic>
                </wp:inline>
              </w:drawing>
            </w:r>
          </w:p>
          <w:p w14:paraId="628C9DE2">
            <w:pPr>
              <w:jc w:val="center"/>
            </w:pPr>
            <w:r>
              <w:rPr>
                <w:color w:val="646464"/>
                <w:sz w:val="16"/>
              </w:rPr>
              <w:t>09 Interior Window</w:t>
            </w:r>
          </w:p>
        </w:tc>
        <w:tc>
          <w:tcPr>
            <w:tcW w:w="5328" w:type="dxa"/>
            <w:vAlign w:val="center"/>
          </w:tcPr>
          <w:p w14:paraId="5BA831B8">
            <w:pPr>
              <w:jc w:val="center"/>
            </w:pPr>
            <w:r>
              <w:drawing>
                <wp:inline distT="0" distB="0" distL="114300" distR="114300">
                  <wp:extent cx="2834640" cy="2834640"/>
                  <wp:effectExtent l="0" t="0" r="381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7"/>
                          <a:stretch>
                            <a:fillRect/>
                          </a:stretch>
                        </pic:blipFill>
                        <pic:spPr>
                          <a:xfrm>
                            <a:off x="0" y="0"/>
                            <a:ext cx="2834640" cy="2834640"/>
                          </a:xfrm>
                          <a:prstGeom prst="rect">
                            <a:avLst/>
                          </a:prstGeom>
                        </pic:spPr>
                      </pic:pic>
                    </a:graphicData>
                  </a:graphic>
                </wp:inline>
              </w:drawing>
            </w:r>
          </w:p>
          <w:p w14:paraId="554FC301">
            <w:pPr>
              <w:jc w:val="center"/>
            </w:pPr>
            <w:r>
              <w:rPr>
                <w:color w:val="646464"/>
                <w:sz w:val="16"/>
              </w:rPr>
              <w:t>10 Inflatable Beam Detail</w:t>
            </w:r>
          </w:p>
        </w:tc>
      </w:tr>
    </w:tbl>
    <w:p w14:paraId="173B1121">
      <w:pPr>
        <w:spacing w:after="20"/>
      </w:pPr>
    </w:p>
    <w:tbl>
      <w:tblPr>
        <w:tblStyle w:val="32"/>
        <w:tblW w:w="0" w:type="auto"/>
        <w:jc w:val="center"/>
        <w:tblLayout w:type="autofit"/>
        <w:tblCellMar>
          <w:top w:w="0" w:type="dxa"/>
          <w:left w:w="108" w:type="dxa"/>
          <w:bottom w:w="0" w:type="dxa"/>
          <w:right w:w="108" w:type="dxa"/>
        </w:tblCellMar>
      </w:tblPr>
      <w:tblGrid>
        <w:gridCol w:w="5328"/>
        <w:gridCol w:w="5328"/>
      </w:tblGrid>
      <w:tr w14:paraId="23E7F5E9">
        <w:tblPrEx>
          <w:tblCellMar>
            <w:top w:w="0" w:type="dxa"/>
            <w:left w:w="108" w:type="dxa"/>
            <w:bottom w:w="0" w:type="dxa"/>
            <w:right w:w="108" w:type="dxa"/>
          </w:tblCellMar>
        </w:tblPrEx>
        <w:trPr>
          <w:jc w:val="center"/>
        </w:trPr>
        <w:tc>
          <w:tcPr>
            <w:tcW w:w="5328" w:type="dxa"/>
            <w:vAlign w:val="center"/>
          </w:tcPr>
          <w:p w14:paraId="4EE7DFFF">
            <w:pPr>
              <w:jc w:val="center"/>
            </w:pPr>
            <w:r>
              <w:drawing>
                <wp:inline distT="0" distB="0" distL="114300" distR="114300">
                  <wp:extent cx="2834640" cy="2834640"/>
                  <wp:effectExtent l="0" t="0" r="381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8"/>
                          <a:stretch>
                            <a:fillRect/>
                          </a:stretch>
                        </pic:blipFill>
                        <pic:spPr>
                          <a:xfrm>
                            <a:off x="0" y="0"/>
                            <a:ext cx="2834640" cy="2834640"/>
                          </a:xfrm>
                          <a:prstGeom prst="rect">
                            <a:avLst/>
                          </a:prstGeom>
                        </pic:spPr>
                      </pic:pic>
                    </a:graphicData>
                  </a:graphic>
                </wp:inline>
              </w:drawing>
            </w:r>
          </w:p>
          <w:p w14:paraId="75E03B06">
            <w:pPr>
              <w:jc w:val="center"/>
            </w:pPr>
            <w:r>
              <w:rPr>
                <w:color w:val="646464"/>
                <w:sz w:val="16"/>
              </w:rPr>
              <w:t>11 Interior Side View</w:t>
            </w:r>
          </w:p>
        </w:tc>
        <w:tc>
          <w:tcPr>
            <w:tcW w:w="5328" w:type="dxa"/>
            <w:vAlign w:val="center"/>
          </w:tcPr>
          <w:p w14:paraId="06A9C1AC">
            <w:pPr>
              <w:jc w:val="center"/>
            </w:pPr>
          </w:p>
        </w:tc>
      </w:tr>
    </w:tbl>
    <w:p w14:paraId="56E0A889">
      <w:pPr>
        <w:spacing w:after="20"/>
      </w:pPr>
    </w:p>
    <w:p w14:paraId="77166B0E">
      <w:pPr>
        <w:pStyle w:val="4"/>
        <w:spacing w:before="160" w:after="80"/>
      </w:pPr>
      <w:r>
        <w:rPr>
          <w:b/>
        </w:rPr>
        <w:t>3. Manufacturing Process</w:t>
      </w:r>
    </w:p>
    <w:p w14:paraId="4EA7D883">
      <w:pPr>
        <w:spacing w:after="20"/>
      </w:pPr>
      <w:r>
        <w:rPr>
          <w:rFonts w:ascii="Arial" w:hAnsi="Arial"/>
          <w:b/>
          <w:color w:val="C47D00"/>
          <w:sz w:val="19"/>
        </w:rPr>
        <w:t xml:space="preserve">Project Design &amp; Layout Confirmation: </w:t>
      </w:r>
      <w:r>
        <w:rPr>
          <w:rFonts w:ascii="Arial" w:hAnsi="Arial"/>
          <w:sz w:val="19"/>
        </w:rPr>
        <w:t>The tent structure, dimensions, window positions, door quantity, air-beam layout, ventilation design and optional partitions are confirmed according to the client’s usage scenario.</w:t>
      </w:r>
    </w:p>
    <w:p w14:paraId="11DD05EF">
      <w:pPr>
        <w:spacing w:after="20"/>
      </w:pPr>
      <w:r>
        <w:rPr>
          <w:rFonts w:ascii="Arial" w:hAnsi="Arial"/>
          <w:b/>
          <w:color w:val="C47D00"/>
          <w:sz w:val="19"/>
        </w:rPr>
        <w:t xml:space="preserve">Material Selection &amp; Inspection: </w:t>
      </w:r>
      <w:r>
        <w:rPr>
          <w:rFonts w:ascii="Arial" w:hAnsi="Arial"/>
          <w:sz w:val="19"/>
        </w:rPr>
        <w:t>Commercial-grade inflatable fabric is selected for abrasion resistance, waterproof performance, easy cleaning and long service life. The fabric surface, thickness, coating and color are checked before production.</w:t>
      </w:r>
    </w:p>
    <w:p w14:paraId="5FFCCB61">
      <w:pPr>
        <w:spacing w:after="20"/>
      </w:pPr>
      <w:r>
        <w:rPr>
          <w:rFonts w:ascii="Arial" w:hAnsi="Arial"/>
          <w:b/>
          <w:color w:val="C47D00"/>
          <w:sz w:val="19"/>
        </w:rPr>
        <w:t xml:space="preserve">Digital Pattern Making &amp; Cutting: </w:t>
      </w:r>
      <w:r>
        <w:rPr>
          <w:rFonts w:ascii="Arial" w:hAnsi="Arial"/>
          <w:sz w:val="19"/>
        </w:rPr>
        <w:t>The production team prepares accurate cutting patterns based on the approved design. CNC cutting or manual precision cutting is used to keep panel size consistent and reduce material waste.</w:t>
      </w:r>
    </w:p>
    <w:p w14:paraId="60F9215B">
      <w:pPr>
        <w:spacing w:after="20"/>
      </w:pPr>
      <w:r>
        <w:rPr>
          <w:rFonts w:ascii="Arial" w:hAnsi="Arial"/>
          <w:b/>
          <w:color w:val="C47D00"/>
          <w:sz w:val="19"/>
        </w:rPr>
        <w:t xml:space="preserve">High-Frequency / Hot-Air Welding: </w:t>
      </w:r>
      <w:r>
        <w:rPr>
          <w:rFonts w:ascii="Arial" w:hAnsi="Arial"/>
          <w:sz w:val="19"/>
        </w:rPr>
        <w:t>Main inflatable tubes and large tarpaulin panels are welded to improve air tightness and water resistance. Welding lines are checked to ensure stable bonding and clean edges.</w:t>
      </w:r>
    </w:p>
    <w:p w14:paraId="4CBA9C4D">
      <w:pPr>
        <w:spacing w:after="20"/>
      </w:pPr>
      <w:r>
        <w:rPr>
          <w:rFonts w:ascii="Arial" w:hAnsi="Arial"/>
          <w:b/>
          <w:color w:val="C47D00"/>
          <w:sz w:val="19"/>
        </w:rPr>
        <w:t xml:space="preserve">Sewing &amp; Accessory Assembly: </w:t>
      </w:r>
      <w:r>
        <w:rPr>
          <w:rFonts w:ascii="Arial" w:hAnsi="Arial"/>
          <w:sz w:val="19"/>
        </w:rPr>
        <w:t>Windows, mesh panels, zipper doors, hook-and-loop fasteners, buckle straps, D-rings, valve covers and reinforcement patches are assembled according to the design.</w:t>
      </w:r>
    </w:p>
    <w:p w14:paraId="2F6BC711">
      <w:pPr>
        <w:spacing w:after="20"/>
      </w:pPr>
      <w:r>
        <w:rPr>
          <w:rFonts w:ascii="Arial" w:hAnsi="Arial"/>
          <w:b/>
          <w:color w:val="C47D00"/>
          <w:sz w:val="19"/>
        </w:rPr>
        <w:t xml:space="preserve">Inflation Test &amp; Detail Inspection: </w:t>
      </w:r>
      <w:r>
        <w:rPr>
          <w:rFonts w:ascii="Arial" w:hAnsi="Arial"/>
          <w:sz w:val="19"/>
        </w:rPr>
        <w:t>The finished tent is inflated for inspection. Workers check the air frame, seams, valves, window covers, door operation, anchoring points and overall appearance before packing.</w:t>
      </w:r>
    </w:p>
    <w:p w14:paraId="5DFDA947">
      <w:pPr>
        <w:spacing w:after="20"/>
      </w:pPr>
      <w:r>
        <w:rPr>
          <w:rFonts w:ascii="Arial" w:hAnsi="Arial"/>
          <w:b/>
          <w:color w:val="C47D00"/>
          <w:sz w:val="19"/>
        </w:rPr>
        <w:t xml:space="preserve">Cleaning, Folding &amp; Packing: </w:t>
      </w:r>
      <w:r>
        <w:rPr>
          <w:rFonts w:ascii="Arial" w:hAnsi="Arial"/>
          <w:sz w:val="19"/>
        </w:rPr>
        <w:t>After testing, the tent is cleaned, folded and packed with accessories. The packing method is designed for international shipping and convenient on-site installation.</w:t>
      </w:r>
    </w:p>
    <w:p w14:paraId="5B97F4CE">
      <w:pPr>
        <w:pStyle w:val="4"/>
        <w:spacing w:before="160" w:after="80"/>
      </w:pPr>
      <w:r>
        <w:rPr>
          <w:b/>
        </w:rPr>
        <w:t>4. Key Construction Details</w:t>
      </w:r>
    </w:p>
    <w:p w14:paraId="0D6F5146">
      <w:pPr>
        <w:spacing w:after="40"/>
        <w:ind w:left="259" w:hanging="173"/>
      </w:pPr>
      <w:r>
        <w:rPr>
          <w:b/>
        </w:rPr>
        <w:t xml:space="preserve">• </w:t>
      </w:r>
      <w:r>
        <w:rPr>
          <w:rFonts w:ascii="Arial" w:hAnsi="Arial"/>
          <w:sz w:val="19"/>
        </w:rPr>
        <w:t>Reinforced inflatable air-beam frame: grey internal beams support the roof and side walls without heavy metal frames, making the tent faster to deploy and easier to transport.</w:t>
      </w:r>
    </w:p>
    <w:p w14:paraId="782CBD7A">
      <w:pPr>
        <w:spacing w:after="40"/>
        <w:ind w:left="259" w:hanging="173"/>
      </w:pPr>
      <w:r>
        <w:rPr>
          <w:b/>
        </w:rPr>
        <w:t xml:space="preserve">• </w:t>
      </w:r>
      <w:r>
        <w:rPr>
          <w:rFonts w:ascii="Arial" w:hAnsi="Arial"/>
          <w:sz w:val="19"/>
        </w:rPr>
        <w:t>Durable outer cover: the glossy yellow tarpaulin surface is waterproof, easy to clean and suitable for temporary medical response environments.</w:t>
      </w:r>
    </w:p>
    <w:p w14:paraId="27E8C5EB">
      <w:pPr>
        <w:spacing w:after="40"/>
        <w:ind w:left="259" w:hanging="173"/>
      </w:pPr>
      <w:r>
        <w:rPr>
          <w:b/>
        </w:rPr>
        <w:t xml:space="preserve">• </w:t>
      </w:r>
      <w:r>
        <w:rPr>
          <w:rFonts w:ascii="Arial" w:hAnsi="Arial"/>
          <w:sz w:val="19"/>
        </w:rPr>
        <w:t>Roll-up ventilation windows: transparent mesh windows help improve air circulation while keeping the interior bright and visible.</w:t>
      </w:r>
    </w:p>
    <w:p w14:paraId="058BC77C">
      <w:pPr>
        <w:spacing w:after="40"/>
        <w:ind w:left="259" w:hanging="173"/>
      </w:pPr>
      <w:r>
        <w:rPr>
          <w:b/>
        </w:rPr>
        <w:t xml:space="preserve">• </w:t>
      </w:r>
      <w:r>
        <w:rPr>
          <w:rFonts w:ascii="Arial" w:hAnsi="Arial"/>
          <w:sz w:val="19"/>
        </w:rPr>
        <w:t>Secure entrance system: zipper doors, button holes, protective flaps and reinforced edges help improve sealing, privacy and daily operation stability.</w:t>
      </w:r>
    </w:p>
    <w:p w14:paraId="1C77AF7C">
      <w:pPr>
        <w:spacing w:after="40"/>
        <w:ind w:left="259" w:hanging="173"/>
      </w:pPr>
      <w:r>
        <w:rPr>
          <w:b/>
        </w:rPr>
        <w:t xml:space="preserve">• </w:t>
      </w:r>
      <w:r>
        <w:rPr>
          <w:rFonts w:ascii="Arial" w:hAnsi="Arial"/>
          <w:sz w:val="19"/>
        </w:rPr>
        <w:t>Multiple D-rings and fixing points: interior and exterior rings allow ropes, straps, lighting, partitions or other accessories to be fixed based on project requirements.</w:t>
      </w:r>
    </w:p>
    <w:p w14:paraId="6774DF45">
      <w:pPr>
        <w:spacing w:after="40"/>
        <w:ind w:left="259" w:hanging="173"/>
      </w:pPr>
      <w:r>
        <w:rPr>
          <w:b/>
        </w:rPr>
        <w:t xml:space="preserve">• </w:t>
      </w:r>
      <w:r>
        <w:rPr>
          <w:rFonts w:ascii="Arial" w:hAnsi="Arial"/>
          <w:sz w:val="19"/>
        </w:rPr>
        <w:t>Reinforced seams and corners: high-stress areas such as door edges, window borders, beam joints and bottom edges are strengthened to improve durability.</w:t>
      </w:r>
    </w:p>
    <w:p w14:paraId="15D3C142">
      <w:pPr>
        <w:pStyle w:val="4"/>
        <w:spacing w:before="160" w:after="80"/>
      </w:pPr>
      <w:r>
        <w:rPr>
          <w:b/>
        </w:rPr>
        <w:t>5. Advantages for Medical &amp; Emergency Projects</w:t>
      </w:r>
    </w:p>
    <w:tbl>
      <w:tblPr>
        <w:tblStyle w:val="32"/>
        <w:tblW w:w="0" w:type="auto"/>
        <w:jc w:val="center"/>
        <w:tblLayout w:type="autofit"/>
        <w:tblCellMar>
          <w:top w:w="0" w:type="dxa"/>
          <w:left w:w="108" w:type="dxa"/>
          <w:bottom w:w="0" w:type="dxa"/>
          <w:right w:w="108" w:type="dxa"/>
        </w:tblCellMar>
      </w:tblPr>
      <w:tblGrid>
        <w:gridCol w:w="3552"/>
        <w:gridCol w:w="3552"/>
        <w:gridCol w:w="3552"/>
      </w:tblGrid>
      <w:tr w14:paraId="301971F0">
        <w:tblPrEx>
          <w:tblCellMar>
            <w:top w:w="0" w:type="dxa"/>
            <w:left w:w="108" w:type="dxa"/>
            <w:bottom w:w="0" w:type="dxa"/>
            <w:right w:w="108" w:type="dxa"/>
          </w:tblCellMar>
        </w:tblPrEx>
        <w:trPr>
          <w:jc w:val="center"/>
        </w:trPr>
        <w:tc>
          <w:tcPr>
            <w:tcW w:w="3552" w:type="dxa"/>
            <w:shd w:val="clear" w:color="auto" w:fill="C47A00"/>
          </w:tcPr>
          <w:p w14:paraId="4662C47A">
            <w:pPr>
              <w:jc w:val="left"/>
            </w:pPr>
            <w:r>
              <w:rPr>
                <w:rFonts w:ascii="Arial" w:hAnsi="Arial"/>
                <w:b/>
                <w:color w:val="FFFFFF"/>
                <w:sz w:val="19"/>
              </w:rPr>
              <w:t>Fast Deployment</w:t>
            </w:r>
          </w:p>
        </w:tc>
        <w:tc>
          <w:tcPr>
            <w:tcW w:w="3552" w:type="dxa"/>
            <w:shd w:val="clear" w:color="auto" w:fill="C47A00"/>
          </w:tcPr>
          <w:p w14:paraId="6C652ECE">
            <w:pPr>
              <w:jc w:val="left"/>
            </w:pPr>
            <w:r>
              <w:rPr>
                <w:rFonts w:ascii="Arial" w:hAnsi="Arial"/>
                <w:b/>
                <w:color w:val="FFFFFF"/>
                <w:sz w:val="19"/>
              </w:rPr>
              <w:t>Flexible Layout</w:t>
            </w:r>
          </w:p>
        </w:tc>
        <w:tc>
          <w:tcPr>
            <w:tcW w:w="3552" w:type="dxa"/>
            <w:shd w:val="clear" w:color="auto" w:fill="C47A00"/>
          </w:tcPr>
          <w:p w14:paraId="02A98F3B">
            <w:pPr>
              <w:jc w:val="left"/>
            </w:pPr>
            <w:r>
              <w:rPr>
                <w:rFonts w:ascii="Arial" w:hAnsi="Arial"/>
                <w:b/>
                <w:color w:val="FFFFFF"/>
                <w:sz w:val="19"/>
              </w:rPr>
              <w:t>Easy Maintenance</w:t>
            </w:r>
          </w:p>
        </w:tc>
      </w:tr>
      <w:tr w14:paraId="38967B90">
        <w:tblPrEx>
          <w:tblCellMar>
            <w:top w:w="0" w:type="dxa"/>
            <w:left w:w="108" w:type="dxa"/>
            <w:bottom w:w="0" w:type="dxa"/>
            <w:right w:w="108" w:type="dxa"/>
          </w:tblCellMar>
        </w:tblPrEx>
        <w:trPr>
          <w:jc w:val="center"/>
        </w:trPr>
        <w:tc>
          <w:tcPr>
            <w:tcW w:w="3552" w:type="dxa"/>
          </w:tcPr>
          <w:p w14:paraId="610FD303">
            <w:pPr>
              <w:jc w:val="left"/>
            </w:pPr>
            <w:r>
              <w:rPr>
                <w:rFonts w:ascii="Arial" w:hAnsi="Arial"/>
                <w:b w:val="0"/>
                <w:sz w:val="18"/>
              </w:rPr>
              <w:t>The inflatable frame can be set up quickly with an air blower, reducing installation time during emergency operations.</w:t>
            </w:r>
          </w:p>
        </w:tc>
        <w:tc>
          <w:tcPr>
            <w:tcW w:w="3552" w:type="dxa"/>
          </w:tcPr>
          <w:p w14:paraId="6444BB92">
            <w:pPr>
              <w:jc w:val="left"/>
            </w:pPr>
            <w:r>
              <w:rPr>
                <w:rFonts w:ascii="Arial" w:hAnsi="Arial"/>
                <w:b w:val="0"/>
                <w:sz w:val="18"/>
              </w:rPr>
              <w:t>Custom sizes, doors, windows, inner partitions and functional areas can be designed for triage, treatment, storage or command use.</w:t>
            </w:r>
          </w:p>
        </w:tc>
        <w:tc>
          <w:tcPr>
            <w:tcW w:w="3552" w:type="dxa"/>
          </w:tcPr>
          <w:p w14:paraId="58EF70F8">
            <w:pPr>
              <w:jc w:val="left"/>
            </w:pPr>
            <w:r>
              <w:rPr>
                <w:rFonts w:ascii="Arial" w:hAnsi="Arial"/>
                <w:b w:val="0"/>
                <w:sz w:val="18"/>
              </w:rPr>
              <w:t>The waterproof fabric surface is easy to wipe, clean and store after use, helping rental companies and rescue teams improve turnaround efficiency.</w:t>
            </w:r>
          </w:p>
        </w:tc>
      </w:tr>
    </w:tbl>
    <w:p w14:paraId="5A3D2E76">
      <w:pPr>
        <w:pStyle w:val="4"/>
        <w:spacing w:before="160" w:after="80"/>
      </w:pPr>
      <w:r>
        <w:rPr>
          <w:b/>
        </w:rPr>
        <w:t>6. Application Scenarios</w:t>
      </w:r>
    </w:p>
    <w:p w14:paraId="2E187E60">
      <w:pPr>
        <w:spacing w:after="40"/>
        <w:ind w:left="259" w:hanging="173"/>
      </w:pPr>
      <w:r>
        <w:rPr>
          <w:b/>
        </w:rPr>
        <w:t xml:space="preserve">• </w:t>
      </w:r>
      <w:r>
        <w:rPr>
          <w:rFonts w:ascii="Arial" w:hAnsi="Arial"/>
          <w:sz w:val="19"/>
        </w:rPr>
        <w:t>Emergency triage and first-aid station</w:t>
      </w:r>
    </w:p>
    <w:p w14:paraId="14C4B111">
      <w:pPr>
        <w:spacing w:after="40"/>
        <w:ind w:left="259" w:hanging="173"/>
      </w:pPr>
      <w:r>
        <w:rPr>
          <w:b/>
        </w:rPr>
        <w:t xml:space="preserve">• </w:t>
      </w:r>
      <w:r>
        <w:rPr>
          <w:rFonts w:ascii="Arial" w:hAnsi="Arial"/>
          <w:sz w:val="19"/>
        </w:rPr>
        <w:t>Temporary medical clinic or field hospital support</w:t>
      </w:r>
    </w:p>
    <w:p w14:paraId="3494F0E7">
      <w:pPr>
        <w:spacing w:after="40"/>
        <w:ind w:left="259" w:hanging="173"/>
      </w:pPr>
      <w:r>
        <w:rPr>
          <w:b/>
        </w:rPr>
        <w:t xml:space="preserve">• </w:t>
      </w:r>
      <w:r>
        <w:rPr>
          <w:rFonts w:ascii="Arial" w:hAnsi="Arial"/>
          <w:sz w:val="19"/>
        </w:rPr>
        <w:t>Disaster relief, rescue command and outdoor medical response</w:t>
      </w:r>
    </w:p>
    <w:p w14:paraId="1577C65A">
      <w:pPr>
        <w:spacing w:after="40"/>
        <w:ind w:left="259" w:hanging="173"/>
      </w:pPr>
      <w:r>
        <w:rPr>
          <w:b/>
        </w:rPr>
        <w:t xml:space="preserve">• </w:t>
      </w:r>
      <w:r>
        <w:rPr>
          <w:rFonts w:ascii="Arial" w:hAnsi="Arial"/>
          <w:sz w:val="19"/>
        </w:rPr>
        <w:t>Quarantine, isolation and health screening area</w:t>
      </w:r>
    </w:p>
    <w:p w14:paraId="57DDB298">
      <w:pPr>
        <w:spacing w:after="40"/>
        <w:ind w:left="259" w:hanging="173"/>
      </w:pPr>
      <w:r>
        <w:rPr>
          <w:b/>
        </w:rPr>
        <w:t xml:space="preserve">• </w:t>
      </w:r>
      <w:r>
        <w:rPr>
          <w:rFonts w:ascii="Arial" w:hAnsi="Arial"/>
          <w:sz w:val="19"/>
        </w:rPr>
        <w:t>Event medical support, sports first-aid center and public safety projects</w:t>
      </w:r>
    </w:p>
    <w:p w14:paraId="73A2F540">
      <w:pPr>
        <w:spacing w:after="40"/>
        <w:ind w:left="259" w:hanging="173"/>
      </w:pPr>
      <w:r>
        <w:rPr>
          <w:b/>
        </w:rPr>
        <w:t xml:space="preserve">• </w:t>
      </w:r>
      <w:r>
        <w:rPr>
          <w:rFonts w:ascii="Arial" w:hAnsi="Arial"/>
          <w:sz w:val="19"/>
        </w:rPr>
        <w:t>Military, training, simulation and temporary logistics support areas</w:t>
      </w:r>
    </w:p>
    <w:p w14:paraId="6F6084D4">
      <w:pPr>
        <w:pStyle w:val="4"/>
        <w:spacing w:before="160" w:after="80"/>
      </w:pPr>
      <w:r>
        <w:rPr>
          <w:b/>
        </w:rPr>
        <w:t>7. Customization Options</w:t>
      </w:r>
    </w:p>
    <w:p w14:paraId="050FA713">
      <w:r>
        <w:t>We support OEM/ODM customization for different project requirements. Available options include tent size, fabric thickness, color, printed logo, window quantity, door style, removable partitions, floor design, air blower configuration, connection corridor, lighting system, HVAC duct opening, package label and complete project solutions.</w:t>
      </w:r>
    </w:p>
    <w:p w14:paraId="4650E5D6">
      <w:pPr>
        <w:pStyle w:val="4"/>
        <w:spacing w:before="160" w:after="80"/>
      </w:pPr>
      <w:r>
        <w:rPr>
          <w:b/>
        </w:rPr>
        <w:t>8. Quality Control Before Shipment</w:t>
      </w:r>
    </w:p>
    <w:p w14:paraId="3572DE82">
      <w:pPr>
        <w:spacing w:after="40"/>
        <w:ind w:left="259" w:hanging="173"/>
      </w:pPr>
      <w:r>
        <w:rPr>
          <w:b/>
        </w:rPr>
        <w:t xml:space="preserve">• </w:t>
      </w:r>
      <w:r>
        <w:rPr>
          <w:rFonts w:ascii="Arial" w:hAnsi="Arial"/>
          <w:sz w:val="19"/>
        </w:rPr>
        <w:t>Material surface check and color confirmation</w:t>
      </w:r>
    </w:p>
    <w:p w14:paraId="4656CB01">
      <w:pPr>
        <w:spacing w:after="40"/>
        <w:ind w:left="259" w:hanging="173"/>
      </w:pPr>
      <w:r>
        <w:rPr>
          <w:b/>
        </w:rPr>
        <w:t xml:space="preserve">• </w:t>
      </w:r>
      <w:r>
        <w:rPr>
          <w:rFonts w:ascii="Arial" w:hAnsi="Arial"/>
          <w:sz w:val="19"/>
        </w:rPr>
        <w:t>Welding seam inspection and reinforcement check</w:t>
      </w:r>
    </w:p>
    <w:p w14:paraId="2237EDFB">
      <w:pPr>
        <w:spacing w:after="40"/>
        <w:ind w:left="259" w:hanging="173"/>
      </w:pPr>
      <w:r>
        <w:rPr>
          <w:b/>
        </w:rPr>
        <w:t xml:space="preserve">• </w:t>
      </w:r>
      <w:r>
        <w:rPr>
          <w:rFonts w:ascii="Arial" w:hAnsi="Arial"/>
          <w:sz w:val="19"/>
        </w:rPr>
        <w:t>Inflation and air-leakage inspection</w:t>
      </w:r>
    </w:p>
    <w:p w14:paraId="4B7E1248">
      <w:pPr>
        <w:spacing w:after="40"/>
        <w:ind w:left="259" w:hanging="173"/>
      </w:pPr>
      <w:r>
        <w:rPr>
          <w:b/>
        </w:rPr>
        <w:t xml:space="preserve">• </w:t>
      </w:r>
      <w:r>
        <w:rPr>
          <w:rFonts w:ascii="Arial" w:hAnsi="Arial"/>
          <w:sz w:val="19"/>
        </w:rPr>
        <w:t>Door, zipper, buckle, window cover and valve function testing</w:t>
      </w:r>
    </w:p>
    <w:p w14:paraId="37254984">
      <w:pPr>
        <w:spacing w:after="40"/>
        <w:ind w:left="259" w:hanging="173"/>
      </w:pPr>
      <w:r>
        <w:rPr>
          <w:b/>
        </w:rPr>
        <w:t xml:space="preserve">• </w:t>
      </w:r>
      <w:r>
        <w:rPr>
          <w:rFonts w:ascii="Arial" w:hAnsi="Arial"/>
          <w:sz w:val="19"/>
        </w:rPr>
        <w:t>Appearance cleaning, folding check and accessory list confirmation</w:t>
      </w:r>
    </w:p>
    <w:p w14:paraId="26E29D51">
      <w:pPr>
        <w:pStyle w:val="4"/>
        <w:spacing w:before="160" w:after="80"/>
      </w:pPr>
      <w:r>
        <w:rPr>
          <w:rFonts w:hint="eastAsia" w:eastAsia="宋体"/>
          <w:b/>
          <w:lang w:val="en-US" w:eastAsia="zh-CN"/>
        </w:rPr>
        <w:t>9</w:t>
      </w:r>
      <w:r>
        <w:rPr>
          <w:b/>
        </w:rPr>
        <w:t>. Inquiry Text for Buyers</w:t>
      </w:r>
    </w:p>
    <w:p w14:paraId="56BEDF45">
      <w:r>
        <w:t>Please send us your required tent size, application scenario, quantity, logo design and delivery destination. Our team can provide customized design, material recommendations, production details and a complete inflatable medical tent solution for your project.</w:t>
      </w:r>
    </w:p>
    <w:sectPr>
      <w:headerReference r:id="rId5" w:type="default"/>
      <w:footerReference r:id="rId6" w:type="default"/>
      <w:pgSz w:w="12240" w:h="15840"/>
      <w:pgMar w:top="648" w:right="792" w:bottom="648" w:left="792"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49E54">
    <w:pPr>
      <w:pStyle w:val="24"/>
      <w:jc w:val="center"/>
    </w:pPr>
    <w:r>
      <w:rPr>
        <w:rFonts w:ascii="Arial" w:hAnsi="Arial"/>
        <w:color w:val="787878"/>
        <w:sz w:val="16"/>
      </w:rPr>
      <w:t>Custom Inflatable Medical Tent - Alibaba Product Detail Page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7622F">
    <w:pPr>
      <w:pStyle w:val="25"/>
      <w:jc w:val="right"/>
    </w:pPr>
    <w:r>
      <w:rPr>
        <w:rFonts w:ascii="Arial" w:hAnsi="Arial"/>
        <w:color w:val="646464"/>
        <w:sz w:val="16"/>
      </w:rPr>
      <w:t>Shanghai Tonghuan Inflated Article Co., Ltd. | https://shtxcqzp.en.alibaba.com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333F1CCB"/>
    <w:rsid w:val="54D85C0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uiPriority="99" w:semiHidden="0" w:name="List"/>
    <w:lsdException w:uiPriority="99" w:semiHidden="0" w:name="List Bullet"/>
    <w:lsdException w:uiPriority="99" w:semiHidden="0" w:name="List Number"/>
    <w:lsdException w:qFormat="1" w:uiPriority="99" w:semiHidden="0" w:name="List 2"/>
    <w:lsdException w:qFormat="1" w:uiPriority="99" w:semiHidden="0" w:name="List 3"/>
    <w:lsdException w:uiPriority="99" w:name="List 4"/>
    <w:lsdException w:uiPriority="99" w:name="List 5"/>
    <w:lsdException w:uiPriority="99" w:semiHidden="0" w:name="List Bullet 2"/>
    <w:lsdException w:qFormat="1"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Arial" w:hAnsi="Arial" w:eastAsia="Arial" w:cstheme="minorBidi"/>
      <w:color w:val="303030"/>
      <w:sz w:val="19"/>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C47D00"/>
      <w:sz w:val="40"/>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64646"/>
      <w:sz w:val="28"/>
      <w:szCs w:val="26"/>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C47D00"/>
      <w:sz w:val="22"/>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6"/>
    <w:unhideWhenUsed/>
    <w:qFormat/>
    <w:uiPriority w:val="99"/>
    <w:pPr>
      <w:spacing w:after="120"/>
    </w:pPr>
    <w:rPr>
      <w:sz w:val="16"/>
      <w:szCs w:val="16"/>
    </w:rPr>
  </w:style>
  <w:style w:type="paragraph" w:styleId="18">
    <w:name w:val="List Bullet 3"/>
    <w:basedOn w:val="1"/>
    <w:unhideWhenUsed/>
    <w:qFormat/>
    <w:uiPriority w:val="99"/>
    <w:pPr>
      <w:numPr>
        <w:ilvl w:val="0"/>
        <w:numId w:val="4"/>
      </w:numPr>
      <w:contextualSpacing/>
    </w:pPr>
  </w:style>
  <w:style w:type="paragraph" w:styleId="19">
    <w:name w:val="Body Text"/>
    <w:basedOn w:val="1"/>
    <w:link w:val="144"/>
    <w:unhideWhenUsed/>
    <w:qFormat/>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qFormat/>
    <w:uiPriority w:val="99"/>
    <w:pPr>
      <w:ind w:left="720" w:hanging="360"/>
      <w:contextualSpacing/>
    </w:pPr>
  </w:style>
  <w:style w:type="paragraph" w:styleId="22">
    <w:name w:val="List Continue"/>
    <w:basedOn w:val="1"/>
    <w:unhideWhenUsed/>
    <w:qFormat/>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footer"/>
    <w:basedOn w:val="1"/>
    <w:link w:val="136"/>
    <w:unhideWhenUsed/>
    <w:qFormat/>
    <w:uiPriority w:val="99"/>
    <w:pPr>
      <w:tabs>
        <w:tab w:val="center" w:pos="4680"/>
        <w:tab w:val="right" w:pos="9360"/>
      </w:tabs>
      <w:spacing w:after="0" w:line="240" w:lineRule="auto"/>
    </w:pPr>
  </w:style>
  <w:style w:type="paragraph" w:styleId="25">
    <w:name w:val="header"/>
    <w:basedOn w:val="1"/>
    <w:link w:val="135"/>
    <w:unhideWhenUsed/>
    <w:qFormat/>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uiPriority w:val="99"/>
    <w:pPr>
      <w:ind w:left="360" w:hanging="360"/>
      <w:contextualSpacing/>
    </w:pPr>
  </w:style>
  <w:style w:type="paragraph" w:styleId="28">
    <w:name w:val="Body Text 2"/>
    <w:basedOn w:val="1"/>
    <w:link w:val="145"/>
    <w:unhideWhenUsed/>
    <w:qFormat/>
    <w:uiPriority w:val="99"/>
    <w:pPr>
      <w:spacing w:after="120" w:line="480" w:lineRule="auto"/>
    </w:pPr>
  </w:style>
  <w:style w:type="paragraph" w:styleId="29">
    <w:name w:val="List Continue 2"/>
    <w:basedOn w:val="1"/>
    <w:unhideWhenUsed/>
    <w:qFormat/>
    <w:uiPriority w:val="99"/>
    <w:pPr>
      <w:spacing w:after="120"/>
      <w:ind w:left="720"/>
      <w:contextualSpacing/>
    </w:pPr>
  </w:style>
  <w:style w:type="paragraph" w:styleId="30">
    <w:name w:val="List Continue 3"/>
    <w:basedOn w:val="1"/>
    <w:unhideWhenUsed/>
    <w:qFormat/>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qFormat/>
    <w:uiPriority w:val="99"/>
  </w:style>
  <w:style w:type="character" w:customStyle="1" w:styleId="136">
    <w:name w:val="Footer Char"/>
    <w:basedOn w:val="132"/>
    <w:link w:val="24"/>
    <w:qFormat/>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qFormat/>
    <w:uiPriority w:val="99"/>
  </w:style>
  <w:style w:type="character" w:customStyle="1" w:styleId="145">
    <w:name w:val="Body Text 2 Char"/>
    <w:basedOn w:val="132"/>
    <w:link w:val="28"/>
    <w:qFormat/>
    <w:uiPriority w:val="99"/>
  </w:style>
  <w:style w:type="character" w:customStyle="1" w:styleId="146">
    <w:name w:val="Body Text 3 Char"/>
    <w:basedOn w:val="132"/>
    <w:link w:val="17"/>
    <w:uiPriority w:val="99"/>
    <w:rPr>
      <w:sz w:val="16"/>
      <w:szCs w:val="16"/>
    </w:rPr>
  </w:style>
  <w:style w:type="character" w:customStyle="1" w:styleId="147">
    <w:name w:val="Macro Text Char"/>
    <w:basedOn w:val="132"/>
    <w:link w:val="2"/>
    <w:qFormat/>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uiPriority w:val="29"/>
    <w:rPr>
      <w:i/>
      <w:iCs/>
      <w:color w:val="000000" w:themeColor="text1"/>
      <w14:textFill>
        <w14:solidFill>
          <w14:schemeClr w14:val="tx1"/>
        </w14:solidFill>
      </w14:textFill>
    </w:rPr>
  </w:style>
  <w:style w:type="character" w:customStyle="1" w:styleId="150">
    <w:name w:val="Heading 4 Char"/>
    <w:basedOn w:val="132"/>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qFormat/>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6</Pages>
  <Words>837</Words>
  <Characters>5204</Characters>
  <Lines>0</Lines>
  <Paragraphs>0</Paragraphs>
  <TotalTime>55</TotalTime>
  <ScaleCrop>false</ScaleCrop>
  <LinksUpToDate>false</LinksUpToDate>
  <CharactersWithSpaces>5967</CharactersWithSpaces>
  <Application>WPS Office_12.1.0.26884_F1E327BC-269C-435d-A152-05C5408002CA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Mr.shen</cp:lastModifiedBy>
  <dcterms:modified xsi:type="dcterms:W3CDTF">2026-06-22T14:44:49Z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eyJoZGlkIjoiODMwN2QyMDAwODhiMmZmM2ExNmY5NWIzYjEwOTY5ZWYiLCJ1c2VySWQiOiIzNTE3MjkwMzMifQ==</vt:lpwstr>
  </property>
  <property fmtid="{D5CDD505-2E9C-101B-9397-08002B2CF9AE}" pid="3" name="KSOProductBuildVer">
    <vt:lpwstr>2052-12.1.0.26884</vt:lpwstr>
  </property>
  <property fmtid="{D5CDD505-2E9C-101B-9397-08002B2CF9AE}" pid="4" name="ICV">
    <vt:lpwstr>CCD29A22D9F0463B9D8BC1C8EE1C943C_13</vt:lpwstr>
  </property>
</Properties>
</file>